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27F2" w14:textId="31446532" w:rsidR="00964A88" w:rsidRPr="00721972" w:rsidRDefault="00964A88" w:rsidP="00964A88">
      <w:pPr>
        <w:pStyle w:val="ConsPlusNormal"/>
        <w:ind w:left="5103" w:firstLine="0"/>
        <w:jc w:val="both"/>
        <w:rPr>
          <w:sz w:val="24"/>
          <w:szCs w:val="24"/>
        </w:rPr>
      </w:pPr>
      <w:r w:rsidRPr="0072197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</w:p>
    <w:p w14:paraId="27657446" w14:textId="77777777" w:rsidR="00C66CB3" w:rsidRDefault="00964A88" w:rsidP="00964A88">
      <w:pPr>
        <w:pStyle w:val="ConsPlusNormal"/>
        <w:ind w:left="5103" w:firstLine="0"/>
        <w:jc w:val="both"/>
        <w:rPr>
          <w:sz w:val="24"/>
          <w:szCs w:val="24"/>
        </w:rPr>
      </w:pPr>
      <w:r w:rsidRPr="00721972">
        <w:rPr>
          <w:sz w:val="24"/>
          <w:szCs w:val="24"/>
        </w:rPr>
        <w:t>к приказу государственного казенного учреждения</w:t>
      </w:r>
      <w:r>
        <w:rPr>
          <w:sz w:val="24"/>
          <w:szCs w:val="24"/>
        </w:rPr>
        <w:t xml:space="preserve"> </w:t>
      </w:r>
      <w:r w:rsidRPr="00721972">
        <w:rPr>
          <w:sz w:val="24"/>
          <w:szCs w:val="24"/>
        </w:rPr>
        <w:t xml:space="preserve">«Центр закупок </w:t>
      </w:r>
      <w:r>
        <w:rPr>
          <w:sz w:val="24"/>
          <w:szCs w:val="24"/>
        </w:rPr>
        <w:br/>
      </w:r>
      <w:r w:rsidRPr="00721972">
        <w:rPr>
          <w:sz w:val="24"/>
          <w:szCs w:val="24"/>
        </w:rPr>
        <w:t xml:space="preserve">и бухгалтерского учета Курганской области» </w:t>
      </w:r>
    </w:p>
    <w:p w14:paraId="34D8B89F" w14:textId="432152C7" w:rsidR="00E83BBE" w:rsidRDefault="00C66CB3" w:rsidP="00964A88">
      <w:pPr>
        <w:pStyle w:val="ConsPlusNormal"/>
        <w:ind w:left="5103" w:firstLine="0"/>
        <w:jc w:val="both"/>
        <w:rPr>
          <w:sz w:val="24"/>
          <w:szCs w:val="24"/>
        </w:rPr>
      </w:pPr>
      <w:r w:rsidRPr="00C66CB3">
        <w:rPr>
          <w:sz w:val="24"/>
          <w:szCs w:val="24"/>
        </w:rPr>
        <w:t>от «</w:t>
      </w:r>
      <w:r w:rsidRPr="00C66CB3">
        <w:rPr>
          <w:sz w:val="24"/>
          <w:szCs w:val="24"/>
          <w:u w:val="single"/>
        </w:rPr>
        <w:t xml:space="preserve"> 26 </w:t>
      </w:r>
      <w:r w:rsidRPr="00C66CB3">
        <w:rPr>
          <w:sz w:val="24"/>
          <w:szCs w:val="24"/>
        </w:rPr>
        <w:t xml:space="preserve">» </w:t>
      </w:r>
      <w:r w:rsidRPr="00C66CB3">
        <w:rPr>
          <w:sz w:val="24"/>
          <w:szCs w:val="24"/>
          <w:u w:val="single"/>
        </w:rPr>
        <w:t>декабря</w:t>
      </w:r>
      <w:r w:rsidRPr="00C66CB3">
        <w:rPr>
          <w:sz w:val="24"/>
          <w:szCs w:val="24"/>
        </w:rPr>
        <w:t xml:space="preserve"> 20</w:t>
      </w:r>
      <w:r w:rsidRPr="00C66CB3">
        <w:rPr>
          <w:sz w:val="24"/>
          <w:szCs w:val="24"/>
          <w:u w:val="single"/>
        </w:rPr>
        <w:t>25</w:t>
      </w:r>
      <w:r w:rsidRPr="00C66CB3">
        <w:rPr>
          <w:sz w:val="24"/>
          <w:szCs w:val="24"/>
        </w:rPr>
        <w:t xml:space="preserve"> года №</w:t>
      </w:r>
      <w:r w:rsidRPr="00C66CB3">
        <w:rPr>
          <w:sz w:val="24"/>
          <w:szCs w:val="24"/>
          <w:u w:val="single"/>
        </w:rPr>
        <w:t xml:space="preserve"> 8_</w:t>
      </w:r>
      <w:r w:rsidR="00964A88">
        <w:rPr>
          <w:sz w:val="24"/>
          <w:szCs w:val="24"/>
        </w:rPr>
        <w:t xml:space="preserve"> </w:t>
      </w:r>
      <w:r w:rsidR="00964A88" w:rsidRPr="00721972">
        <w:rPr>
          <w:sz w:val="24"/>
          <w:szCs w:val="24"/>
        </w:rPr>
        <w:t>«</w:t>
      </w:r>
      <w:r w:rsidR="00964A88" w:rsidRPr="002C2CD9">
        <w:rPr>
          <w:sz w:val="24"/>
          <w:szCs w:val="24"/>
        </w:rPr>
        <w:t>О внесении изменений в приказ государственного казенного учреждения «Центр закупок и бухгалтерского учета Курганской области» 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</w:t>
      </w:r>
      <w:r w:rsidR="00964A88" w:rsidRPr="00721972">
        <w:rPr>
          <w:sz w:val="24"/>
          <w:szCs w:val="24"/>
        </w:rPr>
        <w:t>»</w:t>
      </w:r>
    </w:p>
    <w:p w14:paraId="2F16D744" w14:textId="77777777" w:rsidR="00E83BBE" w:rsidRDefault="00E83BBE">
      <w:pPr>
        <w:pStyle w:val="ConsPlusNormal"/>
        <w:ind w:left="5103" w:firstLine="0"/>
        <w:jc w:val="both"/>
        <w:rPr>
          <w:sz w:val="24"/>
          <w:szCs w:val="24"/>
        </w:rPr>
      </w:pPr>
    </w:p>
    <w:p w14:paraId="6E3C6220" w14:textId="792F8539" w:rsidR="002F35C5" w:rsidRDefault="00000000">
      <w:pPr>
        <w:pStyle w:val="ConsPlusNormal"/>
        <w:ind w:left="510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4 </w:t>
      </w:r>
    </w:p>
    <w:p w14:paraId="14BB0F00" w14:textId="5F703209" w:rsidR="00010E14" w:rsidRDefault="00000000">
      <w:pPr>
        <w:pStyle w:val="ConsPlusNormal"/>
        <w:ind w:left="5103" w:firstLine="0"/>
        <w:jc w:val="both"/>
      </w:pPr>
      <w:r>
        <w:rPr>
          <w:sz w:val="24"/>
          <w:szCs w:val="24"/>
        </w:rPr>
        <w:t>к Учетной политике государственного казенного учреждения «Центр закупок и бухгалтерского учета Курганской области», субъектов централизованного учета</w:t>
      </w:r>
    </w:p>
    <w:p w14:paraId="673B3862" w14:textId="77777777" w:rsidR="00010E14" w:rsidRDefault="00010E14">
      <w:pPr>
        <w:pStyle w:val="Standard"/>
        <w:rPr>
          <w:rFonts w:ascii="Liberation Sans" w:hAnsi="Liberation Sans"/>
          <w:b/>
          <w:bCs/>
        </w:rPr>
      </w:pPr>
    </w:p>
    <w:p w14:paraId="65EEE915" w14:textId="77777777" w:rsidR="00010E14" w:rsidRDefault="00010E14">
      <w:pPr>
        <w:pStyle w:val="Standard"/>
        <w:jc w:val="center"/>
        <w:rPr>
          <w:rFonts w:ascii="Liberation Sans" w:hAnsi="Liberation Sans"/>
          <w:b/>
          <w:bCs/>
        </w:rPr>
      </w:pPr>
    </w:p>
    <w:p w14:paraId="1970B089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отражения в бюджетном учете операций с объектами в составе имущества казны Курганской области</w:t>
      </w:r>
    </w:p>
    <w:p w14:paraId="13312C72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6082DF7D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bookmarkStart w:id="0" w:name="P0015"/>
      <w:bookmarkEnd w:id="0"/>
      <w:r>
        <w:rPr>
          <w:rFonts w:ascii="Arial" w:hAnsi="Arial" w:cs="Arial"/>
          <w:b/>
          <w:bCs/>
        </w:rPr>
        <w:t>Раздел 1. Общие положения</w:t>
      </w:r>
    </w:p>
    <w:p w14:paraId="17C4A298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6D9E4F13" w14:textId="1AB68ADD" w:rsidR="00010E14" w:rsidRDefault="00000000" w:rsidP="002F35C5">
      <w:pPr>
        <w:ind w:firstLine="709"/>
        <w:jc w:val="both"/>
      </w:pPr>
      <w:r>
        <w:rPr>
          <w:rFonts w:ascii="Arial" w:hAnsi="Arial" w:cs="Arial"/>
        </w:rPr>
        <w:t>1.1. Настоящий Порядок отражения в бюджетном учете операций с объектами в составе имущества казны Курганской области (далее - Порядок) разработан в соответствии с приказом Министерства финансов Российской Федерации от 30.08.2024 г. №121н «</w:t>
      </w:r>
      <w:r>
        <w:rPr>
          <w:rFonts w:ascii="Arial" w:eastAsia="Times New Roman" w:hAnsi="Arial" w:cs="Arial"/>
          <w:color w:val="222222"/>
          <w:kern w:val="0"/>
          <w:shd w:val="clear" w:color="auto" w:fill="FFFFFF"/>
          <w:lang w:eastAsia="ru-RU" w:bidi="ar-SA"/>
        </w:rPr>
        <w:t>Об 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</w:t>
      </w:r>
      <w:r>
        <w:rPr>
          <w:rFonts w:ascii="Arial" w:hAnsi="Arial" w:cs="Arial"/>
        </w:rPr>
        <w:t>; приказом Министерства финансов Российской Федерации от 20.09.2024 г. № 132н «</w:t>
      </w:r>
      <w:r>
        <w:rPr>
          <w:rFonts w:ascii="Arial" w:eastAsia="Times New Roman" w:hAnsi="Arial" w:cs="Arial"/>
          <w:color w:val="222222"/>
          <w:kern w:val="0"/>
          <w:shd w:val="clear" w:color="auto" w:fill="FFFFFF"/>
          <w:lang w:eastAsia="ru-RU" w:bidi="ar-SA"/>
        </w:rPr>
        <w:t>Об утверждении федерального стандарта бухгалтерского учета государственных финансов «План счетов бюджетного учета»; пр</w:t>
      </w:r>
      <w:r>
        <w:rPr>
          <w:rFonts w:ascii="Arial" w:hAnsi="Arial" w:cs="Arial"/>
        </w:rPr>
        <w:t>иказом Министерства финансов Российской Федерации от 15.06.2021 г. № 84н «Об утверждении федерального стандарта бухгалтерского учета государственных финансов «Государственная (муниципальная) казна»(далее - Стандарт).</w:t>
      </w:r>
    </w:p>
    <w:p w14:paraId="6D4C6C08" w14:textId="67FA01B2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 Основания отнесения объектов имущества к казне:</w:t>
      </w:r>
    </w:p>
    <w:p w14:paraId="27D970E9" w14:textId="7D1FF974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закрепления за предприятиями и учреждениями в хозяйственном ведении или в оперативном управлении областного имущества, построенного или приобретенного за счет средств соответствующего бюджета;</w:t>
      </w:r>
    </w:p>
    <w:p w14:paraId="5BCD53D0" w14:textId="4EB1D7A4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собственника имущества, отказ собственника от имущества или утрата собственником права на имущество по иным основаниям, предусмотренным действующим законодательством, на которое в случаях и в порядке, установленном действующим законодательством, приобретено право областной собственности;</w:t>
      </w:r>
    </w:p>
    <w:p w14:paraId="6F15431A" w14:textId="17AA9C33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изъятие излишнего, неиспользуемого либо используемого не по назначению имущества, закрепленного за учреждением на праве оперативного управления;</w:t>
      </w:r>
    </w:p>
    <w:p w14:paraId="1DBC35E8" w14:textId="68E2DB05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иные основания, предусмотренные действующим законодательством.</w:t>
      </w:r>
    </w:p>
    <w:p w14:paraId="586CC9B1" w14:textId="77777777" w:rsidR="00010E14" w:rsidRDefault="00010E14">
      <w:pPr>
        <w:pStyle w:val="Standard"/>
        <w:jc w:val="both"/>
        <w:rPr>
          <w:rFonts w:ascii="Arial" w:eastAsia="Arial" w:hAnsi="Arial" w:cs="Arial"/>
        </w:rPr>
      </w:pPr>
    </w:p>
    <w:p w14:paraId="60BEC377" w14:textId="77777777" w:rsidR="00E455A3" w:rsidRDefault="00E455A3">
      <w:pPr>
        <w:pStyle w:val="Standard"/>
        <w:jc w:val="both"/>
        <w:rPr>
          <w:rFonts w:ascii="Arial" w:eastAsia="Arial" w:hAnsi="Arial" w:cs="Arial"/>
        </w:rPr>
      </w:pPr>
    </w:p>
    <w:p w14:paraId="60825EEB" w14:textId="77777777" w:rsidR="00010E14" w:rsidRPr="00E455A3" w:rsidRDefault="00000000">
      <w:pPr>
        <w:pStyle w:val="Standard"/>
        <w:jc w:val="center"/>
        <w:rPr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Раздел 2. Группировка объектов, входящих в состав имущества казны, по счетам </w:t>
      </w:r>
      <w:r w:rsidRPr="00E455A3">
        <w:rPr>
          <w:rFonts w:ascii="Arial" w:hAnsi="Arial" w:cs="Arial"/>
          <w:b/>
          <w:bCs/>
        </w:rPr>
        <w:t>бюджетного учета</w:t>
      </w:r>
    </w:p>
    <w:p w14:paraId="0480527D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49E93537" w14:textId="2BB0B6E2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2.1. Для учета нефинансовых активов в составе имущества казны применяются следующие счета:</w:t>
      </w:r>
      <w:bookmarkStart w:id="1" w:name="P0022"/>
      <w:bookmarkEnd w:id="1"/>
    </w:p>
    <w:tbl>
      <w:tblPr>
        <w:tblW w:w="10013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13"/>
      </w:tblGrid>
      <w:tr w:rsidR="00010E14" w14:paraId="51D48976" w14:textId="77777777">
        <w:trPr>
          <w:trHeight w:val="173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AB547A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1 108 51 000 «Недвижимое имущество,</w:t>
            </w:r>
            <w:bookmarkStart w:id="2" w:name="redstr24"/>
            <w:bookmarkEnd w:id="2"/>
            <w:r>
              <w:rPr>
                <w:rFonts w:ascii="Arial" w:hAnsi="Arial" w:cs="Arial"/>
              </w:rPr>
              <w:t xml:space="preserve"> составляющее казну»</w:t>
            </w:r>
          </w:p>
        </w:tc>
      </w:tr>
      <w:tr w:rsidR="00010E14" w14:paraId="5EB5DBF1" w14:textId="77777777">
        <w:trPr>
          <w:trHeight w:val="274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AA5619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1 108 52 000 «Движимое имущество, </w:t>
            </w:r>
            <w:bookmarkStart w:id="3" w:name="redstr26"/>
            <w:bookmarkEnd w:id="3"/>
            <w:r>
              <w:rPr>
                <w:rFonts w:ascii="Arial" w:hAnsi="Arial" w:cs="Arial"/>
              </w:rPr>
              <w:t>составляющее казну»</w:t>
            </w:r>
          </w:p>
        </w:tc>
      </w:tr>
      <w:tr w:rsidR="00010E14" w14:paraId="44C83ED8" w14:textId="77777777">
        <w:trPr>
          <w:trHeight w:val="173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C384BF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1 108 53 000 «Ценности государственных фондов России»</w:t>
            </w:r>
          </w:p>
        </w:tc>
      </w:tr>
      <w:tr w:rsidR="00010E14" w14:paraId="4BDA2E18" w14:textId="77777777">
        <w:trPr>
          <w:trHeight w:val="173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1FCBCC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1 108 54 000 «Нематериальные активы, </w:t>
            </w:r>
            <w:bookmarkStart w:id="4" w:name="redstr30"/>
            <w:bookmarkEnd w:id="4"/>
            <w:r>
              <w:rPr>
                <w:rFonts w:ascii="Arial" w:hAnsi="Arial" w:cs="Arial"/>
              </w:rPr>
              <w:t>составляющие казну»</w:t>
            </w:r>
          </w:p>
        </w:tc>
      </w:tr>
      <w:tr w:rsidR="00010E14" w14:paraId="57B00C13" w14:textId="77777777">
        <w:trPr>
          <w:trHeight w:val="183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273885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1 108 55 000 «Непроизведенные активы, </w:t>
            </w:r>
            <w:bookmarkStart w:id="5" w:name="redstr32"/>
            <w:bookmarkEnd w:id="5"/>
            <w:r>
              <w:rPr>
                <w:rFonts w:ascii="Arial" w:hAnsi="Arial" w:cs="Arial"/>
              </w:rPr>
              <w:t>составляющие казну»</w:t>
            </w:r>
          </w:p>
        </w:tc>
      </w:tr>
      <w:tr w:rsidR="00010E14" w14:paraId="0AFC7996" w14:textId="77777777">
        <w:trPr>
          <w:trHeight w:val="305"/>
        </w:trPr>
        <w:tc>
          <w:tcPr>
            <w:tcW w:w="1001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CC12DD" w14:textId="77777777" w:rsidR="00010E14" w:rsidRDefault="00000000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1 108 56 000 </w:t>
            </w:r>
            <w:bookmarkStart w:id="6" w:name="redstr35"/>
            <w:bookmarkEnd w:id="6"/>
            <w:r>
              <w:rPr>
                <w:rFonts w:ascii="Arial" w:hAnsi="Arial" w:cs="Arial"/>
              </w:rPr>
              <w:t xml:space="preserve">«Материальные запасы, </w:t>
            </w:r>
            <w:bookmarkStart w:id="7" w:name="redstr34"/>
            <w:bookmarkEnd w:id="7"/>
            <w:r>
              <w:rPr>
                <w:rFonts w:ascii="Arial" w:hAnsi="Arial" w:cs="Arial"/>
              </w:rPr>
              <w:t>составляющие казну»</w:t>
            </w:r>
          </w:p>
        </w:tc>
      </w:tr>
    </w:tbl>
    <w:p w14:paraId="12D1260B" w14:textId="5A356D9C" w:rsidR="00010E14" w:rsidRDefault="00000000" w:rsidP="002F35C5">
      <w:pPr>
        <w:pStyle w:val="Standard"/>
        <w:ind w:firstLine="709"/>
        <w:jc w:val="both"/>
      </w:pPr>
      <w:r>
        <w:rPr>
          <w:rFonts w:ascii="Arial" w:hAnsi="Arial" w:cs="Arial"/>
        </w:rPr>
        <w:t xml:space="preserve">2.2. На счете 1 108 51 000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Недвижимое имущество, составляющее казну</w:t>
      </w:r>
      <w:r>
        <w:rPr>
          <w:rFonts w:ascii="Arial" w:eastAsia="Arial" w:hAnsi="Arial" w:cs="Arial"/>
        </w:rPr>
        <w:t xml:space="preserve">» </w:t>
      </w:r>
      <w:r>
        <w:rPr>
          <w:rFonts w:ascii="Arial" w:hAnsi="Arial" w:cs="Arial"/>
        </w:rPr>
        <w:t>учитываются объекты основных средств, относящиеся к недвижимому имуществу, а также объекты незавершенного строительства, которые в дальнейшем принимаются к бюджетному учету в составе основных средств и вложений в основные средства.</w:t>
      </w:r>
    </w:p>
    <w:p w14:paraId="7CAD3076" w14:textId="4EBADF80" w:rsidR="00010E14" w:rsidRDefault="00000000" w:rsidP="002F35C5">
      <w:pPr>
        <w:pStyle w:val="Standard"/>
        <w:ind w:firstLine="709"/>
        <w:jc w:val="both"/>
      </w:pPr>
      <w:bookmarkStart w:id="8" w:name="redstr37"/>
      <w:bookmarkStart w:id="9" w:name="P0025"/>
      <w:bookmarkEnd w:id="8"/>
      <w:bookmarkEnd w:id="9"/>
      <w:r>
        <w:rPr>
          <w:rFonts w:ascii="Arial" w:hAnsi="Arial" w:cs="Arial"/>
        </w:rPr>
        <w:t xml:space="preserve">2.3. На счете 1 108 52 000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Движимое имущество, составляющее казну</w:t>
      </w:r>
      <w:r>
        <w:rPr>
          <w:rFonts w:ascii="Arial" w:eastAsia="Arial" w:hAnsi="Arial" w:cs="Arial"/>
        </w:rPr>
        <w:t xml:space="preserve">» </w:t>
      </w:r>
      <w:r>
        <w:rPr>
          <w:rFonts w:ascii="Arial" w:hAnsi="Arial" w:cs="Arial"/>
        </w:rPr>
        <w:t xml:space="preserve"> отражается движимое имущество, относящееся к объектам основных средств, а также вложения (инвестиции) в указанные объекты нефинансовых активов при их приобретении (создании), модернизации (реконструкции, дооборудовании), изготовлении, которые в дальнейшем принимаются к бюджетному учету в составе основных средств и капитальных вложений в основные средства как объекты движимого имущества.</w:t>
      </w:r>
    </w:p>
    <w:p w14:paraId="1B290F1D" w14:textId="721D0591" w:rsidR="00010E14" w:rsidRDefault="00000000" w:rsidP="002F35C5">
      <w:pPr>
        <w:pStyle w:val="Standard"/>
        <w:ind w:firstLine="709"/>
        <w:jc w:val="both"/>
      </w:pPr>
      <w:bookmarkStart w:id="10" w:name="redstr38"/>
      <w:bookmarkStart w:id="11" w:name="P0026"/>
      <w:bookmarkEnd w:id="10"/>
      <w:bookmarkEnd w:id="11"/>
      <w:r>
        <w:rPr>
          <w:rFonts w:ascii="Arial" w:hAnsi="Arial" w:cs="Arial"/>
        </w:rPr>
        <w:t xml:space="preserve">2.4. На счете 1 108 53 000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Ценности государственных фондов России</w:t>
      </w:r>
      <w:r>
        <w:rPr>
          <w:rFonts w:ascii="Arial" w:eastAsia="Arial" w:hAnsi="Arial" w:cs="Arial"/>
        </w:rPr>
        <w:t>» учитываются ценности Госфонда России, Госфонда субъектов Российской Федерации.</w:t>
      </w:r>
    </w:p>
    <w:p w14:paraId="113582E9" w14:textId="5E6B843C" w:rsidR="00010E14" w:rsidRDefault="00000000" w:rsidP="002F35C5">
      <w:pPr>
        <w:pStyle w:val="Standard"/>
        <w:ind w:firstLine="709"/>
        <w:jc w:val="both"/>
      </w:pPr>
      <w:bookmarkStart w:id="12" w:name="redstr39"/>
      <w:bookmarkStart w:id="13" w:name="P0027"/>
      <w:bookmarkEnd w:id="12"/>
      <w:bookmarkEnd w:id="13"/>
      <w:r>
        <w:rPr>
          <w:rFonts w:ascii="Arial" w:hAnsi="Arial" w:cs="Arial"/>
        </w:rPr>
        <w:t xml:space="preserve">2.5. На счете 1 108 54 000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Нематериальные активы, составляющие казну</w:t>
      </w:r>
      <w:r>
        <w:rPr>
          <w:rFonts w:ascii="Arial" w:eastAsia="Arial" w:hAnsi="Arial" w:cs="Arial"/>
        </w:rPr>
        <w:t>»</w:t>
      </w:r>
      <w:r>
        <w:rPr>
          <w:rFonts w:ascii="Arial" w:hAnsi="Arial" w:cs="Arial"/>
        </w:rPr>
        <w:t xml:space="preserve"> предназначен для учета объектов нематериальных активов в составе имущества казны.</w:t>
      </w:r>
    </w:p>
    <w:p w14:paraId="4CEBE109" w14:textId="5DBCD5AD" w:rsidR="00010E14" w:rsidRDefault="00000000" w:rsidP="002F35C5">
      <w:pPr>
        <w:pStyle w:val="Standard"/>
        <w:ind w:firstLine="709"/>
        <w:jc w:val="both"/>
      </w:pPr>
      <w:bookmarkStart w:id="14" w:name="redstr40"/>
      <w:bookmarkStart w:id="15" w:name="P0028"/>
      <w:bookmarkEnd w:id="14"/>
      <w:bookmarkEnd w:id="15"/>
      <w:r>
        <w:rPr>
          <w:rFonts w:ascii="Arial" w:hAnsi="Arial" w:cs="Arial"/>
        </w:rPr>
        <w:t xml:space="preserve">2.6. На счете 1 108 55 000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Непроизведенные активы, составляющие казну</w:t>
      </w:r>
      <w:r>
        <w:rPr>
          <w:rFonts w:ascii="Arial" w:eastAsia="Arial" w:hAnsi="Arial" w:cs="Arial"/>
        </w:rPr>
        <w:t>»</w:t>
      </w:r>
      <w:r>
        <w:rPr>
          <w:rFonts w:ascii="Arial" w:hAnsi="Arial" w:cs="Arial"/>
        </w:rPr>
        <w:t xml:space="preserve"> отражаются непроизведенные активы, не являющиеся продуктами производства, права собственности на которые установлены и законодательно закреплены (земля, ресурсы недр и пр.).</w:t>
      </w:r>
    </w:p>
    <w:p w14:paraId="1024FF8C" w14:textId="305E2C8F" w:rsidR="00010E14" w:rsidRDefault="00000000" w:rsidP="002F35C5">
      <w:pPr>
        <w:pStyle w:val="Standard"/>
        <w:ind w:firstLine="709"/>
        <w:jc w:val="both"/>
      </w:pPr>
      <w:bookmarkStart w:id="16" w:name="redstr41"/>
      <w:bookmarkStart w:id="17" w:name="P0029"/>
      <w:bookmarkEnd w:id="16"/>
      <w:bookmarkEnd w:id="17"/>
      <w:r>
        <w:rPr>
          <w:rFonts w:ascii="Arial" w:hAnsi="Arial" w:cs="Arial"/>
        </w:rPr>
        <w:t xml:space="preserve">2.7. На счете 1 108 56 000 </w:t>
      </w:r>
      <w:r>
        <w:rPr>
          <w:rFonts w:ascii="Arial" w:eastAsia="Arial" w:hAnsi="Arial" w:cs="Arial"/>
        </w:rPr>
        <w:t>«</w:t>
      </w:r>
      <w:r>
        <w:rPr>
          <w:rFonts w:ascii="Arial" w:hAnsi="Arial" w:cs="Arial"/>
        </w:rPr>
        <w:t>Материальные запасы, составляющие казну</w:t>
      </w:r>
      <w:r>
        <w:rPr>
          <w:rFonts w:ascii="Arial" w:eastAsia="Arial" w:hAnsi="Arial" w:cs="Arial"/>
        </w:rPr>
        <w:t xml:space="preserve">» </w:t>
      </w:r>
      <w:r>
        <w:rPr>
          <w:rFonts w:ascii="Arial" w:hAnsi="Arial" w:cs="Arial"/>
        </w:rPr>
        <w:t>используется для учета объектов материальных запасов в составе имущества казны.</w:t>
      </w:r>
    </w:p>
    <w:p w14:paraId="766C5933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35A6F456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bookmarkStart w:id="18" w:name="P002A"/>
      <w:bookmarkEnd w:id="18"/>
      <w:r>
        <w:rPr>
          <w:rFonts w:ascii="Arial" w:hAnsi="Arial" w:cs="Arial"/>
          <w:b/>
          <w:bCs/>
        </w:rPr>
        <w:t>Раздел 3. Организация бюджетного учета имущества казны</w:t>
      </w:r>
    </w:p>
    <w:p w14:paraId="60F855FD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3207C771" w14:textId="5542EFDC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19" w:name="redstr42"/>
      <w:bookmarkStart w:id="20" w:name="P002E"/>
      <w:bookmarkStart w:id="21" w:name="P002D"/>
      <w:bookmarkEnd w:id="19"/>
      <w:bookmarkEnd w:id="20"/>
      <w:bookmarkEnd w:id="21"/>
      <w:r>
        <w:rPr>
          <w:rFonts w:ascii="Arial" w:hAnsi="Arial" w:cs="Arial"/>
        </w:rPr>
        <w:t>3.1. Учет имущества казны осуществляется органом власти, на который возложены функции управления и распоряжения государственным имуществом Курганской области.</w:t>
      </w:r>
      <w:bookmarkStart w:id="22" w:name="redstr43"/>
      <w:bookmarkStart w:id="23" w:name="P002F"/>
      <w:bookmarkEnd w:id="22"/>
      <w:bookmarkEnd w:id="23"/>
    </w:p>
    <w:p w14:paraId="6F7B0F8B" w14:textId="03F8B28D" w:rsidR="00010E14" w:rsidRDefault="00000000" w:rsidP="002F35C5">
      <w:pPr>
        <w:pStyle w:val="Standard"/>
        <w:ind w:firstLine="709"/>
        <w:jc w:val="both"/>
      </w:pPr>
      <w:r>
        <w:rPr>
          <w:rFonts w:ascii="Arial" w:hAnsi="Arial" w:cs="Arial"/>
        </w:rPr>
        <w:t>3.2. Объекты в составе имущества казны отражаются в бюджетном учете в стоимостном выражении без ведения их инвентарного и аналитического учета.</w:t>
      </w:r>
      <w:bookmarkStart w:id="24" w:name="P0031"/>
      <w:bookmarkStart w:id="25" w:name="redstr45"/>
      <w:bookmarkEnd w:id="24"/>
      <w:bookmarkEnd w:id="25"/>
      <w:r>
        <w:rPr>
          <w:rFonts w:ascii="Arial" w:hAnsi="Arial" w:cs="Arial"/>
        </w:rPr>
        <w:t xml:space="preserve"> Операции с объектами в составе имущества казны отражаются в бюджетном учете на основании информации (выписки) из Реестра (приложение 1,2), не реже одного раза в месяц (на отчетную дату).</w:t>
      </w:r>
    </w:p>
    <w:p w14:paraId="5F102B00" w14:textId="76E686B6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3.3. В случае отсутствия в Реестре сведений о стоимости отдельных объектов казны, до момента проведения оценки или их передачи стоимость (в том числе остаточная) учитывается в условной единице — 1 рубль.</w:t>
      </w:r>
    </w:p>
    <w:p w14:paraId="0A4E813C" w14:textId="04CAFCDE" w:rsidR="00010E14" w:rsidRDefault="00000000" w:rsidP="002F35C5">
      <w:pPr>
        <w:pStyle w:val="Standard"/>
        <w:ind w:firstLine="709"/>
        <w:jc w:val="both"/>
      </w:pPr>
      <w:r>
        <w:rPr>
          <w:rFonts w:ascii="Arial" w:hAnsi="Arial" w:cs="Arial"/>
        </w:rPr>
        <w:t>3.4. Земельные участки, входящие в состав имущества казны, отражаются в бюджетном учете по кадастровой (рыночной) стоимости, на основании выписки из Единого государственного реестра недвижимости. П</w:t>
      </w:r>
      <w:r>
        <w:rPr>
          <w:rFonts w:ascii="Arial" w:eastAsia="Arial" w:hAnsi="Arial" w:cs="Arial"/>
        </w:rPr>
        <w:t xml:space="preserve">ри отсутствии кадастровой стоимости земельного участка - по стоимости, рассчитанной исходя из наименьшей кадастровой стоимости квадратного метра земельного участка, граничащего с объектом </w:t>
      </w:r>
      <w:r>
        <w:rPr>
          <w:rFonts w:ascii="Arial" w:eastAsia="Arial" w:hAnsi="Arial" w:cs="Arial"/>
        </w:rPr>
        <w:lastRenderedPageBreak/>
        <w:t>учета, либо, при невозможности определения такой стоимости, - в условной оценке, один квадратный метр - 1 рубль.</w:t>
      </w:r>
    </w:p>
    <w:p w14:paraId="00C0934C" w14:textId="7A5370CA" w:rsidR="00010E14" w:rsidRDefault="00000000" w:rsidP="002F35C5">
      <w:pPr>
        <w:pStyle w:val="Standard"/>
        <w:ind w:firstLine="709"/>
        <w:jc w:val="both"/>
      </w:pPr>
      <w:r>
        <w:rPr>
          <w:rFonts w:ascii="Arial" w:hAnsi="Arial" w:cs="Arial"/>
        </w:rPr>
        <w:t xml:space="preserve">3.5. Учет операций по выбытию, перемещению имущества казны ведется в Журнале операций по выбытию и перемещению нефинансовых активов. </w:t>
      </w:r>
      <w:r>
        <w:rPr>
          <w:rFonts w:ascii="Arial" w:eastAsia="Arial" w:hAnsi="Arial" w:cs="Arial"/>
        </w:rPr>
        <w:t>Учет операций по поступлению имущества казны, ведется в соответствии с содержанием факта хозяйственной жизни: в Журнале операций по выбытию и перемещению нефинансовых активов, в Журнале по прочим операциям.</w:t>
      </w:r>
    </w:p>
    <w:p w14:paraId="76DF7C6F" w14:textId="6E1AF2A9" w:rsidR="00010E14" w:rsidRDefault="00000000" w:rsidP="002F35C5">
      <w:pPr>
        <w:pStyle w:val="Standard"/>
        <w:ind w:firstLine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3.6. В случае если передача имущества осуществляется между учреждениями на основании распорядительного акта уполномоченного органа, предусматривающего прекращение права оперативного управления имуществом у одного учреждения и закрепление права оперативного управления за другим, отражение указанного имущества допустимо осуществлять на счетах учреждений, минуя счета учета казны (Письмо Министерства финансов Российской Федерации от 01.04.2011 г. № 02-06-10/1209).</w:t>
      </w:r>
    </w:p>
    <w:p w14:paraId="76B5A682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31C1BC18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4. Поступление нефинансовых активов в состав имущества казны</w:t>
      </w:r>
    </w:p>
    <w:p w14:paraId="7059A9BA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3AD12993" w14:textId="165797CD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26" w:name="redstr182"/>
      <w:bookmarkStart w:id="27" w:name="P003B"/>
      <w:bookmarkStart w:id="28" w:name="P003A"/>
      <w:bookmarkEnd w:id="26"/>
      <w:bookmarkEnd w:id="27"/>
      <w:bookmarkEnd w:id="28"/>
      <w:r>
        <w:rPr>
          <w:rFonts w:ascii="Arial" w:hAnsi="Arial" w:cs="Arial"/>
        </w:rPr>
        <w:t>4.1. Поступление нефинансовых активов отражается в учете по первоначальной (фактической) стоимости объектов учета. Если по указанному имуществу ранее начислялась амортизация, то она также принимается к учету.</w:t>
      </w:r>
      <w:bookmarkStart w:id="29" w:name="redstr183"/>
      <w:bookmarkStart w:id="30" w:name="P003C"/>
      <w:bookmarkEnd w:id="29"/>
      <w:bookmarkEnd w:id="30"/>
    </w:p>
    <w:p w14:paraId="0534C08D" w14:textId="3967551C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4.2. Принятие к учету объектов нефинансовых активов, включенных в состав имущества казны, осуществляется на основании информации (выписки) из Реестра.</w:t>
      </w:r>
    </w:p>
    <w:p w14:paraId="53CB9406" w14:textId="4C38F182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31" w:name="redstr184"/>
      <w:bookmarkStart w:id="32" w:name="P003D"/>
      <w:bookmarkEnd w:id="31"/>
      <w:bookmarkEnd w:id="32"/>
      <w:r>
        <w:rPr>
          <w:rFonts w:ascii="Arial" w:hAnsi="Arial" w:cs="Arial"/>
        </w:rPr>
        <w:t>4.3. С даты включения нефинансового актива в состав имущества казны амортизация по нему не начисляется. По объектам нефинансовых активов, включенным в состав имущества казны в связи с прекращением права оперативного управления (хозяйственного ведения), амортизация принимается к учету в размере сумм, учтенных (начисленных) последним правообладателем.</w:t>
      </w:r>
    </w:p>
    <w:p w14:paraId="43FA89DD" w14:textId="3F95D601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33" w:name="redstr185"/>
      <w:bookmarkStart w:id="34" w:name="P003E"/>
      <w:bookmarkEnd w:id="33"/>
      <w:bookmarkEnd w:id="34"/>
      <w:r>
        <w:rPr>
          <w:rFonts w:ascii="Arial" w:hAnsi="Arial" w:cs="Arial"/>
        </w:rPr>
        <w:t>4.4. Операции по амортизации активов в составе имущества казны ежемесячно отражаются в Журнале операций по выбытию и перемещению нефинансовых активов (форма 0504071).</w:t>
      </w:r>
    </w:p>
    <w:p w14:paraId="7D87BB66" w14:textId="723FACAB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4.5. Аналитический учет нефинансовых активов в составе имущества казны не ведется.</w:t>
      </w:r>
    </w:p>
    <w:p w14:paraId="5B2D2945" w14:textId="0FD000D4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4.6. Учет операций по поступлению имущества казны ведется в соответствии с содержанием хозяйственной операции: в Журнале операций по выбытию и перемещению нефинансовых активов (форма 0504071) и в Журнале по прочим операциям (форма 0504071).</w:t>
      </w:r>
    </w:p>
    <w:p w14:paraId="6E952796" w14:textId="77777777" w:rsidR="00010E14" w:rsidRDefault="00000000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B1C986E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5. Порядок проведения переоценки имущества казны</w:t>
      </w:r>
    </w:p>
    <w:p w14:paraId="4310A660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70CB98CC" w14:textId="5EA3372E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35" w:name="redstr189"/>
      <w:bookmarkStart w:id="36" w:name="P0046"/>
      <w:bookmarkStart w:id="37" w:name="P0045"/>
      <w:bookmarkEnd w:id="35"/>
      <w:bookmarkEnd w:id="36"/>
      <w:bookmarkEnd w:id="37"/>
      <w:r>
        <w:rPr>
          <w:rFonts w:ascii="Arial" w:hAnsi="Arial" w:cs="Arial"/>
        </w:rPr>
        <w:t>5.1. Переоценка стоимости объектов нефинансовых активов, составляющих казну, проводится в порядке, устанавливаемом Правительством Российской Федерации.</w:t>
      </w:r>
    </w:p>
    <w:p w14:paraId="4DB1C7D7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384C5527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6. Отражение результатов переоценки имущества казны</w:t>
      </w:r>
    </w:p>
    <w:p w14:paraId="636B8F09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305B2C41" w14:textId="77777777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6.1. Переоценка стоимости объектов нефинансовых активов в составе имущества казны отражается в бюджетном учете на дату совершения операции, а также на дату составления бюджетной отчетности.</w:t>
      </w:r>
    </w:p>
    <w:p w14:paraId="34BD873D" w14:textId="77777777" w:rsidR="00010E14" w:rsidRDefault="00000000" w:rsidP="002F35C5">
      <w:pPr>
        <w:pStyle w:val="Standard"/>
        <w:ind w:firstLine="709"/>
        <w:jc w:val="both"/>
      </w:pPr>
      <w:r>
        <w:rPr>
          <w:rFonts w:ascii="Arial" w:hAnsi="Arial" w:cs="Arial"/>
        </w:rPr>
        <w:t>6.2. Результаты переоценки оформляются актом, составленным либо в произвольной форме, либо по форме, рекомендуемой Министерством финансов Российской Федерации в Письме от 08.02.2007 г. № 02-14-07/274. Акт о результатах переоценки нефинансовых активов подписывается членами комиссии и утверждается директором Департамента имущественных и земельных отношений Курганской области.</w:t>
      </w:r>
      <w:bookmarkStart w:id="38" w:name="P004D"/>
      <w:bookmarkStart w:id="39" w:name="redstr192"/>
      <w:bookmarkEnd w:id="38"/>
      <w:bookmarkEnd w:id="39"/>
    </w:p>
    <w:p w14:paraId="65FA0FE4" w14:textId="77777777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Результаты проведенной переоценки объектов нефинансовых активов в составе имущества казны подлежат отражению в бюджетном учете обособленно.</w:t>
      </w:r>
    </w:p>
    <w:p w14:paraId="45408AC6" w14:textId="77777777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6.3. Результаты переоценки не включаются в данные бюджетной отчетности предыдущего отчетного года и принимаются при формировании данных бухгалтерского баланса на начало отчетного года.</w:t>
      </w:r>
    </w:p>
    <w:p w14:paraId="5818ABD0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45843B41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7. Выбытие имущества казны при безвозмездной передаче (передаче в оперативное управление, хозяйственное ведение, передаче в собственность другим публично-правовым образованиям)</w:t>
      </w:r>
    </w:p>
    <w:p w14:paraId="7CE20DA4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07325567" w14:textId="351ECA40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40" w:name="redstr195"/>
      <w:bookmarkStart w:id="41" w:name="P0054"/>
      <w:bookmarkStart w:id="42" w:name="P0053"/>
      <w:bookmarkEnd w:id="40"/>
      <w:bookmarkEnd w:id="41"/>
      <w:bookmarkEnd w:id="42"/>
      <w:r>
        <w:rPr>
          <w:rFonts w:ascii="Arial" w:hAnsi="Arial" w:cs="Arial"/>
        </w:rPr>
        <w:t>7.1. Выбытие имущества казны может осуществляться в результате безвозмездной передачи казенным, бюджетным, автономным учреждениям в оперативное управление, государственным унитарным предприятиям в хозяйственное ведение, а также в результате безвозмездной передачи в собственность других публично-правовых образований (в собственность Российской Федерации, субъектов Российской Федерации или муниципальных образований).</w:t>
      </w:r>
    </w:p>
    <w:p w14:paraId="3102F79B" w14:textId="7941C67F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7.2. Безвозмездная передача имущества казны осуществляется в рамках внутриведомственной, межведомственной и межбюджетной передачи, а также в рамках передачи государственным и муниципальным предприятиям. При этом объекты имущества казны передаются по балансовой (фактической) стоимости с одновременной передачей сумм ранее начисленной амортизации.</w:t>
      </w:r>
    </w:p>
    <w:p w14:paraId="59E1CF12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46D1D69B" w14:textId="77777777" w:rsidR="00010E14" w:rsidRDefault="00000000">
      <w:pPr>
        <w:pStyle w:val="Standard"/>
        <w:jc w:val="center"/>
      </w:pPr>
      <w:bookmarkStart w:id="43" w:name="h_00000000000000000000000000000000000000"/>
      <w:bookmarkStart w:id="44" w:name="P0057"/>
      <w:bookmarkEnd w:id="43"/>
      <w:bookmarkEnd w:id="44"/>
      <w:r>
        <w:rPr>
          <w:rFonts w:ascii="Arial" w:hAnsi="Arial" w:cs="Arial"/>
          <w:b/>
          <w:bCs/>
        </w:rPr>
        <w:t xml:space="preserve">Раздел 8. </w:t>
      </w:r>
      <w:r>
        <w:rPr>
          <w:rFonts w:ascii="Arial" w:eastAsia="Arial" w:hAnsi="Arial" w:cs="Arial"/>
          <w:b/>
          <w:bCs/>
        </w:rPr>
        <w:t>Передача имущества казны в аренду,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безвозмездное пользование,</w:t>
      </w:r>
    </w:p>
    <w:p w14:paraId="7B22D5D1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доверительное управление, на хранение</w:t>
      </w:r>
    </w:p>
    <w:p w14:paraId="0271A725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5D25DF6D" w14:textId="38B66750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8.1. Передача имущества казны в аренду, безвозмездное пользование, доверительное управление, а также на хранение отражается на основании первичного учетного документа (акта) на счете 0 108 00 000 «Нефинансовые активы имущества казны» путем внутреннего перемещения объекта нефинансовых активов. Одновременно балансовая стоимость имущества, переданного в аренду, безвозмездное пользование, доверительное управление, на хранение отражается, на забалансовых счетах рабочего плана счетов субъекта учета по соответствующим группам (видам) нефинансовых активов.</w:t>
      </w:r>
    </w:p>
    <w:p w14:paraId="10F94027" w14:textId="48A63A7C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8.2. Стоимость имущества, переданного в аренду, отражается на забалансовом счете 25 «Имущество, переданное в возмездное пользование (аренду)», в безвозмездное пользование - на забалансовом счете 26 «Имущество, переданное в безвозмездное пользование», в доверительное управление - на забалансовом счете 24 «Нефинансовые активы, переданные в доверительное управление». При такой передаче имущество не выбывает из состава имущества казны.</w:t>
      </w:r>
    </w:p>
    <w:p w14:paraId="451EE3B2" w14:textId="2C1E7965" w:rsidR="00010E14" w:rsidRDefault="00000000" w:rsidP="002F35C5">
      <w:pPr>
        <w:pStyle w:val="Standard"/>
        <w:ind w:firstLine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8.3. Объекты учета аренды, возникающие в рамках договоров безвозмездного пользования или в рамках договоров аренды, предусматривающих предоставление имущества в возмездное пользование по цене значительно ниже рыночной стоимости отражаются в бухгалтерском учете по их справедливой стоимости, определяемой на дату классификации объектов учета аренды методом рыночных цен - как если бы право пользования имуществом было предоставлено на коммерческих (рыночных) условиях.</w:t>
      </w:r>
    </w:p>
    <w:p w14:paraId="4D120119" w14:textId="77777777" w:rsidR="00010E14" w:rsidRDefault="00010E14">
      <w:pPr>
        <w:pStyle w:val="Standard"/>
        <w:ind w:firstLine="777"/>
        <w:jc w:val="both"/>
        <w:rPr>
          <w:rFonts w:ascii="Arial" w:hAnsi="Arial" w:cs="Arial"/>
          <w:b/>
          <w:bCs/>
        </w:rPr>
      </w:pPr>
    </w:p>
    <w:p w14:paraId="46C10954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9. Выбытие имущества казны, пришедшего в негодность в результате ветхого состояния (износа), порчи, недостачи, хищения, террористического акта, стихийных и иных бедствий</w:t>
      </w:r>
    </w:p>
    <w:p w14:paraId="768FAEE8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013600DB" w14:textId="1197D884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45" w:name="redstr200"/>
      <w:bookmarkStart w:id="46" w:name="P0061"/>
      <w:bookmarkStart w:id="47" w:name="P0060"/>
      <w:bookmarkEnd w:id="45"/>
      <w:bookmarkEnd w:id="46"/>
      <w:bookmarkEnd w:id="47"/>
      <w:r>
        <w:rPr>
          <w:rFonts w:ascii="Arial" w:hAnsi="Arial" w:cs="Arial"/>
        </w:rPr>
        <w:t>9.1. В случае если имущество казны пришло в негодность, и не подлежит дальнейшей эксплуатации, оно списывается с баланса.</w:t>
      </w:r>
    </w:p>
    <w:p w14:paraId="0FCB8DBB" w14:textId="0959FEF9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48" w:name="redstr201"/>
      <w:bookmarkStart w:id="49" w:name="P0062"/>
      <w:bookmarkEnd w:id="48"/>
      <w:bookmarkEnd w:id="49"/>
      <w:r>
        <w:rPr>
          <w:rFonts w:ascii="Arial" w:hAnsi="Arial" w:cs="Arial"/>
        </w:rPr>
        <w:lastRenderedPageBreak/>
        <w:t>9.2. При списании пришедших в негодность объектов имущества казны применяется следующая корреспонденция счетов:</w:t>
      </w:r>
    </w:p>
    <w:p w14:paraId="0F08ECF2" w14:textId="5C9740B7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50" w:name="redstr202"/>
      <w:bookmarkStart w:id="51" w:name="P0063"/>
      <w:bookmarkEnd w:id="50"/>
      <w:bookmarkEnd w:id="51"/>
      <w:r>
        <w:rPr>
          <w:rFonts w:ascii="Arial" w:hAnsi="Arial" w:cs="Arial"/>
        </w:rPr>
        <w:t>- при списании пришедших в негодность объектов имущества казны (в том числе уничтоженных в результате террористического акта или иных действий, произведенных вне зависимости от воли министерства) производится запись по дебету счета 1 401 10 172 «Доходы от операций с активами» и кредиту соответствующих счетов по остаточной стоимости. Одновременно списываются суммы амортизации, начисленные на дату включения амортизируемого имущества в состав имущества казны;</w:t>
      </w:r>
    </w:p>
    <w:p w14:paraId="6476ACC2" w14:textId="319A9768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52" w:name="redstr203"/>
      <w:bookmarkStart w:id="53" w:name="P0064"/>
      <w:bookmarkEnd w:id="52"/>
      <w:bookmarkEnd w:id="53"/>
      <w:r>
        <w:rPr>
          <w:rFonts w:ascii="Arial" w:hAnsi="Arial" w:cs="Arial"/>
        </w:rPr>
        <w:t>- списание объектов имущества казны, пришедших в негодность вследствие стихийных и иных бедствий, опасного природного явления, катастрофы, отражается по дебету счета 1 401 20 273 «Чрезвычайные расходы по операциям с активами» по остаточной стоимости. Одновременно подлежат списанию суммы амортизации, начисленные на дату включения амортизируемого имущества в состав имущества казны;</w:t>
      </w:r>
    </w:p>
    <w:p w14:paraId="37CE7072" w14:textId="12AF2BFA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54" w:name="redstr204"/>
      <w:bookmarkStart w:id="55" w:name="P0065"/>
      <w:bookmarkEnd w:id="54"/>
      <w:bookmarkEnd w:id="55"/>
      <w:r>
        <w:rPr>
          <w:rFonts w:ascii="Arial" w:hAnsi="Arial" w:cs="Arial"/>
        </w:rPr>
        <w:t>- списание недостающего и похищенного имущества казны отражается с использованием счета 1 401 10 172 «Доходы от операций с активами». Одновременно подлежат списанию суммы амортизации, начисленные на дату включения амортизируемого имущества в состав имущества казны.</w:t>
      </w:r>
    </w:p>
    <w:p w14:paraId="05BC9F08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302DB2AD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10. Выбытие имущества казны в результате реализации, приватизации</w:t>
      </w:r>
    </w:p>
    <w:p w14:paraId="642C563C" w14:textId="77777777" w:rsidR="00010E14" w:rsidRDefault="00010E14">
      <w:pPr>
        <w:pStyle w:val="Standard"/>
        <w:jc w:val="center"/>
        <w:rPr>
          <w:rFonts w:ascii="Arial" w:hAnsi="Arial" w:cs="Arial"/>
        </w:rPr>
      </w:pPr>
    </w:p>
    <w:p w14:paraId="13F52F44" w14:textId="5021E978" w:rsidR="00010E14" w:rsidRDefault="00000000" w:rsidP="002F35C5">
      <w:pPr>
        <w:pStyle w:val="Standard"/>
        <w:ind w:firstLine="709"/>
        <w:jc w:val="both"/>
      </w:pPr>
      <w:bookmarkStart w:id="56" w:name="redstr206"/>
      <w:bookmarkStart w:id="57" w:name="P006B"/>
      <w:bookmarkStart w:id="58" w:name="P006A"/>
      <w:bookmarkEnd w:id="56"/>
      <w:bookmarkEnd w:id="57"/>
      <w:bookmarkEnd w:id="58"/>
      <w:r>
        <w:rPr>
          <w:rFonts w:ascii="Arial" w:hAnsi="Arial" w:cs="Arial"/>
        </w:rPr>
        <w:t xml:space="preserve">10.1. При продаже имущества казны производится доведение остаточной стоимости реализуемого объекта до оценочной стоимости на основании отчета об оценке рыночной стоимости объекта с применением счета 1 401 10 176 </w:t>
      </w:r>
      <w:r>
        <w:rPr>
          <w:rStyle w:val="aa"/>
          <w:rFonts w:ascii="Arial" w:hAnsi="Arial" w:cs="Arial"/>
          <w:b w:val="0"/>
          <w:bCs w:val="0"/>
          <w:color w:val="333333"/>
          <w:shd w:val="clear" w:color="auto" w:fill="FFFFFF"/>
        </w:rPr>
        <w:t>«Доходы от оценки активов и обязательств»</w:t>
      </w:r>
      <w:r>
        <w:rPr>
          <w:rFonts w:ascii="Arial" w:hAnsi="Arial" w:cs="Arial"/>
          <w:b/>
          <w:bCs/>
        </w:rPr>
        <w:t>.</w:t>
      </w:r>
    </w:p>
    <w:p w14:paraId="4022F3A8" w14:textId="4006829A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10.2. Выбытие объектов имущества казны при их реализации, приватизации, в том числе с рассрочкой платежа отражается в учете с применением счета 1 401 10 172 «Доходы от операций с активами». (Письмо Министерства финансов Российской Федерации от 24.01.2017 г. № 02-07-10/3361) на доходы текущего года. Одновременно списывается сумма начисленной амортизации по дебету счета 1 104 00 000 «Амортизация» и кредиту счета 1 108 00 000 «Нефинансовые активы имущества казны».</w:t>
      </w:r>
    </w:p>
    <w:p w14:paraId="17EA5777" w14:textId="54CD17E6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имущества казны по договору купли-продажи с рассрочкой платежа, сумма стоимости имущества считается залоговой, так как право собственности на имущество переходит новому собственнику с обременением, до момента полного погашения оплаты по договору, и отражается на забалансовом счете 10 «Обеспечение исполнения обязательств». Начисление процентов по рассрочке платежа относится на доходы текущего года с применением счета 1 401 10 172 «Доходы от операций с активами», согласно графику платежей, являющегося неотъемлемой частью договора купли - продажи.</w:t>
      </w:r>
    </w:p>
    <w:p w14:paraId="142A2522" w14:textId="5B1AB71B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10.3. Учет доходов от продажи имущества казны осуществляется администратором доходов бюджета.</w:t>
      </w:r>
    </w:p>
    <w:p w14:paraId="2FDF45F8" w14:textId="77777777" w:rsidR="00010E14" w:rsidRDefault="00000000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38C12E9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Раздел 11. Выбытие имущества казны в связи с передачей в уставный капитал (фонд) организаций</w:t>
      </w:r>
    </w:p>
    <w:p w14:paraId="4FBE49FD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5229447A" w14:textId="0E6D1A22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11.1. Вложение объектов имущества казны в уставный капитал (фонд) организаций отражается в размере их остаточной стоимости. При этом сумма ранее начисленной амортизации подлежит списанию с дебета соответствующего аналитического счета 1 104 00 000 «Амортизация» в кредит счета 1 108 00 000 «Нефинансовые активы имущества казны».</w:t>
      </w:r>
    </w:p>
    <w:p w14:paraId="1434E6CC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4B85B6DE" w14:textId="77777777" w:rsidR="00E455A3" w:rsidRDefault="00E455A3">
      <w:pPr>
        <w:pStyle w:val="Standard"/>
        <w:jc w:val="both"/>
        <w:rPr>
          <w:rFonts w:ascii="Arial" w:hAnsi="Arial" w:cs="Arial"/>
        </w:rPr>
      </w:pPr>
    </w:p>
    <w:p w14:paraId="1FD9A2A8" w14:textId="77777777" w:rsidR="00E455A3" w:rsidRDefault="00E455A3">
      <w:pPr>
        <w:pStyle w:val="Standard"/>
        <w:jc w:val="both"/>
        <w:rPr>
          <w:rFonts w:ascii="Arial" w:hAnsi="Arial" w:cs="Arial"/>
        </w:rPr>
      </w:pPr>
    </w:p>
    <w:p w14:paraId="4C86D7DB" w14:textId="77777777" w:rsidR="00010E14" w:rsidRDefault="00000000">
      <w:pPr>
        <w:pStyle w:val="Standard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Раздел 12. Бюджетная отчетность</w:t>
      </w:r>
    </w:p>
    <w:p w14:paraId="6C13CBCA" w14:textId="77777777" w:rsidR="00010E14" w:rsidRDefault="00010E14">
      <w:pPr>
        <w:pStyle w:val="Standard"/>
        <w:jc w:val="center"/>
        <w:rPr>
          <w:rFonts w:ascii="Arial" w:hAnsi="Arial" w:cs="Arial"/>
          <w:b/>
          <w:bCs/>
        </w:rPr>
      </w:pPr>
    </w:p>
    <w:p w14:paraId="4E7DFF6A" w14:textId="00DE9725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bookmarkStart w:id="59" w:name="redstr209"/>
      <w:bookmarkStart w:id="60" w:name="P0072"/>
      <w:bookmarkStart w:id="61" w:name="P0071"/>
      <w:bookmarkEnd w:id="59"/>
      <w:bookmarkEnd w:id="60"/>
      <w:bookmarkEnd w:id="61"/>
      <w:r>
        <w:rPr>
          <w:rFonts w:ascii="Arial" w:hAnsi="Arial" w:cs="Arial"/>
        </w:rPr>
        <w:t>12.1. Бухгалтерские операции с объектами в составе имущества казны Курганской области отражаются в бюджетной отчетности в объеме и в сроки, установленные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г. № 191н.</w:t>
      </w:r>
      <w:bookmarkStart w:id="62" w:name="redstr210"/>
      <w:bookmarkStart w:id="63" w:name="P0073"/>
      <w:bookmarkEnd w:id="62"/>
      <w:bookmarkEnd w:id="63"/>
    </w:p>
    <w:p w14:paraId="52BC693D" w14:textId="765924C7" w:rsidR="00010E14" w:rsidRDefault="00000000" w:rsidP="002F35C5">
      <w:pPr>
        <w:pStyle w:val="Standard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12.2. Справка по консолидируемым расчетам (форма 0503125) по операциям с объектами в составе имущества казны Курганской области представляется в соответствии с установленными сроками.</w:t>
      </w:r>
    </w:p>
    <w:p w14:paraId="211E19EF" w14:textId="77777777" w:rsidR="00010E14" w:rsidRDefault="00010E14">
      <w:pPr>
        <w:pStyle w:val="Standard"/>
        <w:jc w:val="both"/>
        <w:rPr>
          <w:rFonts w:ascii="Arial" w:hAnsi="Arial" w:cs="Arial"/>
          <w:shd w:val="clear" w:color="auto" w:fill="FFFF99"/>
        </w:rPr>
      </w:pPr>
    </w:p>
    <w:p w14:paraId="1AD5B853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140CFB1B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510A0211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p w14:paraId="07FE160E" w14:textId="77777777" w:rsidR="00010E14" w:rsidRDefault="00010E14">
      <w:pPr>
        <w:pStyle w:val="Standard"/>
        <w:jc w:val="both"/>
        <w:rPr>
          <w:rFonts w:ascii="Arial" w:hAnsi="Arial" w:cs="Arial"/>
        </w:rPr>
      </w:pPr>
    </w:p>
    <w:sectPr w:rsidR="00010E14">
      <w:pgSz w:w="11906" w:h="16838"/>
      <w:pgMar w:top="1134" w:right="56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4609" w14:textId="77777777" w:rsidR="00B87E58" w:rsidRDefault="00B87E58">
      <w:r>
        <w:separator/>
      </w:r>
    </w:p>
  </w:endnote>
  <w:endnote w:type="continuationSeparator" w:id="0">
    <w:p w14:paraId="3C4ED1A8" w14:textId="77777777" w:rsidR="00B87E58" w:rsidRDefault="00B8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E68AF" w14:textId="77777777" w:rsidR="00B87E58" w:rsidRDefault="00B87E58">
      <w:r>
        <w:rPr>
          <w:color w:val="000000"/>
        </w:rPr>
        <w:separator/>
      </w:r>
    </w:p>
  </w:footnote>
  <w:footnote w:type="continuationSeparator" w:id="0">
    <w:p w14:paraId="591320EC" w14:textId="77777777" w:rsidR="00B87E58" w:rsidRDefault="00B87E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E14"/>
    <w:rsid w:val="00010E14"/>
    <w:rsid w:val="002F35C5"/>
    <w:rsid w:val="004D53A8"/>
    <w:rsid w:val="0050473F"/>
    <w:rsid w:val="005158F8"/>
    <w:rsid w:val="00643CB6"/>
    <w:rsid w:val="00680ACA"/>
    <w:rsid w:val="006B22FC"/>
    <w:rsid w:val="008F349D"/>
    <w:rsid w:val="00964A88"/>
    <w:rsid w:val="00B0087E"/>
    <w:rsid w:val="00B87E58"/>
    <w:rsid w:val="00C66CB3"/>
    <w:rsid w:val="00E455A3"/>
    <w:rsid w:val="00E8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51B0A"/>
  <w15:docId w15:val="{F184BDDF-4C76-4C70-A975-5FA0F782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Heading"/>
    <w:next w:val="Textbody"/>
    <w:uiPriority w:val="9"/>
    <w:qFormat/>
    <w:pPr>
      <w:outlineLvl w:val="0"/>
    </w:pPr>
    <w:rPr>
      <w:rFonts w:ascii="Times New Roman" w:eastAsia="SimSun" w:hAnsi="Times New Roman" w:cs="Times New Roman"/>
      <w:b/>
      <w:bCs/>
      <w:sz w:val="48"/>
      <w:szCs w:val="48"/>
    </w:r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  <w:rPr>
      <w:rFonts w:ascii="Times New Roman" w:eastAsia="SimSun" w:hAnsi="Times New Roman" w:cs="Times New Roman"/>
      <w:b/>
      <w:bCs/>
      <w:sz w:val="36"/>
      <w:szCs w:val="36"/>
    </w:r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  <w:rPr>
      <w:rFonts w:ascii="Times New Roman" w:eastAsia="SimSu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Normal">
    <w:name w:val="ConsPlusNormal"/>
    <w:pPr>
      <w:suppressAutoHyphens/>
      <w:spacing w:line="100" w:lineRule="atLeast"/>
      <w:ind w:firstLine="720"/>
      <w:textAlignment w:val="auto"/>
    </w:pPr>
    <w:rPr>
      <w:rFonts w:ascii="Arial" w:eastAsia="Times New Roman" w:hAnsi="Arial" w:cs="Arial"/>
      <w:kern w:val="0"/>
      <w:sz w:val="20"/>
      <w:szCs w:val="20"/>
      <w:lang w:eastAsia="ar-SA" w:bidi="ar-SA"/>
    </w:rPr>
  </w:style>
  <w:style w:type="paragraph" w:styleId="a5">
    <w:name w:val="annotation text"/>
    <w:basedOn w:val="a"/>
    <w:rPr>
      <w:sz w:val="20"/>
      <w:szCs w:val="18"/>
    </w:rPr>
  </w:style>
  <w:style w:type="paragraph" w:styleId="a6">
    <w:name w:val="annotation subject"/>
    <w:basedOn w:val="a5"/>
    <w:next w:val="a5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NumberingSymbols">
    <w:name w:val="Numbering Symbols"/>
    <w:rPr>
      <w:rFonts w:ascii="Arial" w:eastAsia="Arial" w:hAnsi="Arial" w:cs="Aria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7">
    <w:name w:val="Текст примечания Знак"/>
    <w:basedOn w:val="a0"/>
    <w:rPr>
      <w:sz w:val="20"/>
      <w:szCs w:val="18"/>
    </w:rPr>
  </w:style>
  <w:style w:type="character" w:styleId="a8">
    <w:name w:val="annotation reference"/>
    <w:basedOn w:val="a0"/>
    <w:rPr>
      <w:sz w:val="16"/>
      <w:szCs w:val="16"/>
    </w:rPr>
  </w:style>
  <w:style w:type="character" w:customStyle="1" w:styleId="a9">
    <w:name w:val="Тема примечания Знак"/>
    <w:basedOn w:val="a7"/>
    <w:rPr>
      <w:b/>
      <w:bCs/>
      <w:sz w:val="20"/>
      <w:szCs w:val="18"/>
    </w:rPr>
  </w:style>
  <w:style w:type="character" w:styleId="aa">
    <w:name w:val="Strong"/>
    <w:basedOn w:val="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62D02-E165-4AA3-BD6F-35E6DD43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Угрюмова Светлана Юрьевна</dc:creator>
  <cp:lastModifiedBy>Галкина Екатерина Эдуардовна</cp:lastModifiedBy>
  <cp:revision>7</cp:revision>
  <dcterms:created xsi:type="dcterms:W3CDTF">2026-04-29T09:26:00Z</dcterms:created>
  <dcterms:modified xsi:type="dcterms:W3CDTF">2026-07-17T07:23:00Z</dcterms:modified>
</cp:coreProperties>
</file>